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67" w:type="dxa"/>
        <w:jc w:val="left"/>
        <w:tblInd w:w="0" w:type="dxa"/>
        <w:tblLayout w:type="fixed"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367"/>
      </w:tblGrid>
      <w:tr>
        <w:trPr>
          <w:trHeight w:val="2791" w:hRule="exact"/>
        </w:trPr>
        <w:tc>
          <w:tcPr>
            <w:tcW w:w="10367" w:type="dxa"/>
            <w:tcBorders/>
          </w:tcPr>
          <w:p>
            <w:pPr>
              <w:pStyle w:val="ConsPlusTitlePage"/>
              <w:tabs>
                <w:tab w:val="clear" w:pos="720"/>
              </w:tabs>
              <w:bidi w:val="0"/>
              <w:ind w:left="0" w:right="0" w:hanging="0"/>
              <w:rPr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3810000" cy="90487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676" w:hRule="exact"/>
        </w:trPr>
        <w:tc>
          <w:tcPr>
            <w:tcW w:w="10367" w:type="dxa"/>
            <w:tcBorders/>
            <w:vAlign w:val="center"/>
          </w:tcPr>
          <w:p>
            <w:pPr>
              <w:pStyle w:val="ConsPlusTitlePag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48"/>
                <w:szCs w:val="48"/>
              </w:rPr>
              <w:t>Распоряжение Правительства РФ от 29.03.2019 N 571-р</w:t>
            </w:r>
            <w:r>
              <w:rPr/>
              <w:br/>
            </w:r>
            <w:r>
              <w:rPr>
                <w:sz w:val="48"/>
                <w:szCs w:val="48"/>
              </w:rPr>
              <w:t>&lt;Об утверждении Плана мероприятий по реализации инвестиционных проектов, реализуемых в составе комплексного инвестиционного проекта "Енисейская Сибирь"&gt;</w:t>
            </w:r>
          </w:p>
        </w:tc>
      </w:tr>
      <w:tr>
        <w:trPr>
          <w:trHeight w:val="2791" w:hRule="exact"/>
        </w:trPr>
        <w:tc>
          <w:tcPr>
            <w:tcW w:w="10367" w:type="dxa"/>
            <w:tcBorders/>
            <w:vAlign w:val="center"/>
          </w:tcPr>
          <w:p>
            <w:pPr>
              <w:pStyle w:val="ConsPlusTitlePag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3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/>
                <w:br/>
                <w:br/>
              </w:r>
            </w:hyperlink>
            <w:hyperlink r:id="rId4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/>
              <w:br/>
              <w:br/>
            </w:r>
            <w:r>
              <w:rPr>
                <w:sz w:val="28"/>
                <w:szCs w:val="28"/>
              </w:rPr>
              <w:t>Дата сохранения: 19.04.2023</w:t>
            </w:r>
            <w:r>
              <w:rPr/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>
      <w:pPr>
        <w:sectPr>
          <w:type w:val="nextPage"/>
          <w:pgSz w:w="11906" w:h="16838"/>
          <w:pgMar w:left="1133" w:right="566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  <w:pStyle w:val="ConsPlusNormal"/>
        <w:bidi w:val="0"/>
        <w:ind w:left="0" w:right="0" w:hanging="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ConsPlusNormal"/>
        <w:bidi w:val="0"/>
        <w:ind w:left="0" w:right="0" w:hanging="0"/>
        <w:rPr/>
      </w:pPr>
      <w:r>
        <w:rPr>
          <w:b/>
          <w:bCs/>
        </w:rPr>
        <w:t>Источник публикации</w:t>
      </w:r>
    </w:p>
    <w:p>
      <w:pPr>
        <w:pStyle w:val="ConsPlusNormal"/>
        <w:bidi w:val="0"/>
        <w:ind w:left="0" w:right="0" w:hanging="0"/>
        <w:jc w:val="both"/>
        <w:rPr/>
      </w:pPr>
      <w:r>
        <w:rPr/>
        <w:t>Официальный интернет-портал правовой информации http://www.pravo.gov.ru, 02.04.2019</w:t>
      </w:r>
    </w:p>
    <w:p>
      <w:pPr>
        <w:pStyle w:val="ConsPlusNormal"/>
        <w:bidi w:val="0"/>
        <w:ind w:left="0" w:right="0" w:hanging="0"/>
        <w:jc w:val="both"/>
        <w:rPr/>
      </w:pPr>
      <w:r>
        <w:rPr/>
        <w:t>"Собрание законодательства РФ", 08.04.2019, N 14 (ч. IV), ст. 1609</w:t>
      </w:r>
    </w:p>
    <w:p>
      <w:pPr>
        <w:pStyle w:val="ConsPlusNormal"/>
        <w:bidi w:val="0"/>
        <w:spacing w:before="240" w:after="160"/>
        <w:ind w:left="0" w:right="0" w:hanging="0"/>
        <w:rPr/>
      </w:pPr>
      <w:r>
        <w:rPr>
          <w:b/>
          <w:bCs/>
        </w:rPr>
        <w:t>Примечание к документу</w:t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both"/>
        <w:outlineLvl w:val="0"/>
        <w:rPr/>
      </w:pPr>
      <w:r>
        <w:rPr/>
      </w:r>
    </w:p>
    <w:p>
      <w:pPr>
        <w:pStyle w:val="ConsPlusNormal"/>
        <w:bidi w:val="0"/>
        <w:ind w:left="0" w:right="0" w:hanging="0"/>
        <w:rPr/>
      </w:pPr>
      <w:r>
        <w:rPr>
          <w:b/>
          <w:bCs/>
        </w:rPr>
        <w:t>Название документа</w:t>
      </w:r>
    </w:p>
    <w:p>
      <w:pPr>
        <w:pStyle w:val="ConsPlusNormal"/>
        <w:bidi w:val="0"/>
        <w:ind w:left="0" w:right="0" w:hanging="0"/>
        <w:jc w:val="both"/>
        <w:rPr/>
      </w:pPr>
      <w:r>
        <w:rPr/>
        <w:t>Распоряжение Правительства РФ от 29.03.2019 N 571-р</w:t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1133" w:right="566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  <w:pStyle w:val="ConsPlusNormal"/>
        <w:bidi w:val="0"/>
        <w:ind w:left="0" w:right="0" w:hanging="0"/>
        <w:jc w:val="both"/>
        <w:rPr/>
      </w:pPr>
      <w:r>
        <w:rPr/>
        <w:t>&lt;Об утверждении Плана мероприятий по реализации инвестиционных проектов, реализуемых в составе комплексного инвестиционного проекта "Енисейская Сибирь"&gt;</w:t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outlineLvl w:val="0"/>
        <w:rPr/>
      </w:pPr>
      <w:r>
        <w:rPr/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center"/>
        <w:outlineLvl w:val="0"/>
        <w:rPr/>
      </w:pPr>
      <w:r>
        <w:rPr/>
        <w:t>ПРАВИТЕЛЬСТВО РОССИЙСКОЙ ФЕДЕРАЦИИ</w:t>
      </w:r>
    </w:p>
    <w:p>
      <w:pPr>
        <w:pStyle w:val="ConsPlusTitle"/>
        <w:bidi w:val="0"/>
        <w:ind w:left="0" w:right="0" w:hanging="0"/>
        <w:jc w:val="center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r>
        <w:rPr/>
        <w:t>РАСПОРЯЖЕНИЕ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от 29 марта 2019 г. N 571-р</w:t>
      </w:r>
    </w:p>
    <w:p>
      <w:pPr>
        <w:pStyle w:val="ConsPlusNormal"/>
        <w:bidi w:val="0"/>
        <w:ind w:left="0" w:right="0" w:hanging="0"/>
        <w:jc w:val="center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bookmarkStart w:id="0" w:name="Par6"/>
      <w:bookmarkEnd w:id="0"/>
      <w:r>
        <w:rPr/>
        <w:t xml:space="preserve">1. В соответствии с указанием Президента Российской Федерации от 7 февраля 2018 г. N Пр-228 в целях активизации социально-экономического развития Красноярского края, Республики Хакасия и Республики Тыва, снятия инфраструктурных ограничений и ускорения экономического роста, увеличения налоговых поступлений в бюджеты бюджетной системы Российской Федерации, создания новых рабочих мест и роста реальных денежных доходов населения регионов Енисейской Сибири одобрить </w:t>
      </w:r>
      <w:hyperlink w:anchor="Par23" w:tgtFrame="ПЕРЕЧЕНЬ">
        <w:r>
          <w:rPr>
            <w:color w:val="0000FF"/>
          </w:rPr>
          <w:t>перечень</w:t>
        </w:r>
      </w:hyperlink>
      <w:r>
        <w:rPr/>
        <w:t xml:space="preserve"> инвестиционных проектов, реализуемых в составе комплексного инвестиционного проекта "Енисейская Сибирь", согласно приложению N 1 с последующим рассмотрением указанных инвестиционных проектов в рамках заседаний рабочей группы по содействию реализации новых инвестиционных проектов, образованной </w:t>
      </w:r>
      <w:hyperlink r:id="rId7">
        <w:r>
          <w:rPr>
            <w:color w:val="0000FF"/>
          </w:rPr>
          <w:t>постановлением</w:t>
        </w:r>
      </w:hyperlink>
      <w:r>
        <w:rPr/>
        <w:t xml:space="preserve"> Правительства Российской Федерации от 15 сентября 2018 г. N 1093 "О рабочей группе по содействию реализации новых инвестиционных проектов".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2. Утвердить </w:t>
      </w:r>
      <w:hyperlink w:anchor="Par89" w:tgtFrame="ПЛАН">
        <w:r>
          <w:rPr>
            <w:color w:val="0000FF"/>
          </w:rPr>
          <w:t>план</w:t>
        </w:r>
      </w:hyperlink>
      <w:r>
        <w:rPr/>
        <w:t xml:space="preserve"> мероприятий по реализации инвестиционных проектов, реализуемых в составе комплексного инвестиционного проекта "Енисейская Сибирь", согласно приложению N 2.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3. Минфину России, Минэкономразвития России, Минпромторгу России, Минтрансу России, Минэнерго России, Минсельхозу России, Минстрою России, Минприроды России, Минздраву России совместно с органами исполнительной власти Красноярского края, Республики Тыва, Республики Хакасия и заинтересованными организациями проработать в установленной сфере деятельности </w:t>
      </w:r>
      <w:hyperlink w:anchor="Par23" w:tgtFrame="ПЕРЕЧЕНЬ">
        <w:r>
          <w:rPr>
            <w:color w:val="0000FF"/>
          </w:rPr>
          <w:t>перечень</w:t>
        </w:r>
      </w:hyperlink>
      <w:r>
        <w:rPr/>
        <w:t xml:space="preserve"> инвестиционных проектов, указанный в </w:t>
      </w:r>
      <w:hyperlink w:anchor="Par6" w:tgtFrame="1. В соответствии с указанием Президента Российской Федерации от 7 февраля 2018 г. N Пр-228 в целях активизации социально-экономического развития Красноярского края, Республики Хакасия и Республики Тыва, снятия инфраструктурных ограничений и ускорения экономического роста, увеличения налоговых поступлений в бюджеты бюджетной системы Российской Федерации, создания новых рабочих мест и роста реальных денежных доходов населения регионов Енисейской Сибири одобрить перечень инвестиционных проектов, реализуемы...">
        <w:r>
          <w:rPr>
            <w:color w:val="0000FF"/>
          </w:rPr>
          <w:t>пункте 1</w:t>
        </w:r>
      </w:hyperlink>
      <w:r>
        <w:rPr/>
        <w:t xml:space="preserve"> настоящего распоряжения.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Председатель Правительства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Российской Федерации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Д.МЕДВЕДЕВ</w:t>
      </w:r>
    </w:p>
    <w:p>
      <w:pPr>
        <w:pStyle w:val="ConsPlusNormal"/>
        <w:bidi w:val="0"/>
        <w:ind w:left="0" w:right="0" w:hanging="0"/>
        <w:jc w:val="right"/>
        <w:rPr/>
      </w:pPr>
      <w:r>
        <w:rPr/>
      </w:r>
    </w:p>
    <w:p>
      <w:pPr>
        <w:pStyle w:val="ConsPlusNormal"/>
        <w:bidi w:val="0"/>
        <w:ind w:left="0" w:right="0" w:hanging="0"/>
        <w:jc w:val="right"/>
        <w:rPr/>
      </w:pPr>
      <w:r>
        <w:rPr/>
      </w:r>
    </w:p>
    <w:p>
      <w:pPr>
        <w:pStyle w:val="ConsPlusNormal"/>
        <w:bidi w:val="0"/>
        <w:ind w:left="0" w:right="0" w:hanging="0"/>
        <w:jc w:val="right"/>
        <w:rPr/>
      </w:pPr>
      <w:r>
        <w:rPr/>
      </w:r>
    </w:p>
    <w:p>
      <w:pPr>
        <w:pStyle w:val="ConsPlusNormal"/>
        <w:bidi w:val="0"/>
        <w:ind w:left="0" w:right="0" w:hanging="0"/>
        <w:jc w:val="right"/>
        <w:rPr/>
      </w:pPr>
      <w:r>
        <w:rPr/>
      </w:r>
    </w:p>
    <w:p>
      <w:pPr>
        <w:pStyle w:val="ConsPlusNormal"/>
        <w:bidi w:val="0"/>
        <w:ind w:left="0" w:right="0" w:hanging="0"/>
        <w:jc w:val="right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right"/>
        <w:outlineLvl w:val="0"/>
        <w:rPr/>
      </w:pPr>
      <w:r>
        <w:rPr/>
        <w:t>Приложение N 1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к распоряжению Правительства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Российской Федерации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от 29 марта 2019 г. N 571-р</w:t>
      </w:r>
    </w:p>
    <w:p>
      <w:pPr>
        <w:pStyle w:val="ConsPlusNormal"/>
        <w:bidi w:val="0"/>
        <w:ind w:left="0" w:right="0" w:hanging="0"/>
        <w:jc w:val="center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bookmarkStart w:id="1" w:name="Par23"/>
      <w:bookmarkEnd w:id="1"/>
      <w:r>
        <w:rPr/>
        <w:t>ПЕРЕЧЕНЬ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ИНВЕСТИЦИОННЫХ ПРОЕКТОВ, РЕАЛИЗУЕМЫХ В СОСТАВЕ КОМПЛЕКСНОГО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ИНВЕСТИЦИОННОГО ПРОЕКТА "ЕНИСЕЙСКАЯ СИБИРЬ"</w:t>
      </w:r>
    </w:p>
    <w:p>
      <w:pPr>
        <w:pStyle w:val="ConsPlusNormal"/>
        <w:bidi w:val="0"/>
        <w:ind w:left="0" w:right="0" w:hanging="0"/>
        <w:jc w:val="center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1. Строительство новых добывающих мощностей и модернизация шахты "Заполярная" ("Южный кластер").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 Строительство Западно-Таймырского промышленного кластера по производству угольных концентратов из коксующихся углей.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3. Создание и развитие особой экономической зоны промышленно-производственного типа "Красноярская технологическая долина"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rPr/>
        <w:t xml:space="preserve"> "Об особых экономических зонах в Российской Федерации", в том числе: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а) строительство завода по выпуску литых колесных дисков;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б) создание производства плит из алюминиевых сплавов;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в) создание производства широкого алюминиевого профиля окружностью до 750 мм для транспортного машиностроения и строительства;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г) создание и развитие индустриального парка для сдачи в аренду готовых производственных помещений резидентам особой экономической зоны промышленно-производственного типа "Красноярская технологическая долина";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д) создание производства рондолей для последующего производства упаковки для бытовой химии, косметической продукции;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е) создание производства широкой алюминиевой ленты (листа) мощностью 30000 тонн в год методом бесслитковой прокатки;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ж) создание продукции бытового назначения из алюминия.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4. Создание международного транспортно-логистического и производственного хаба на базе аэропортов Красноярск и Черемшанка.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5. Развитие Ангаро-Енисейского экономического района, в том числе: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а) строительство автодорожного моста через р. Енисей в районе пос. Высокогорский в Енисейском районе Красноярского края;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б) развитие золотодобычных предприятий;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в) освоение Боголюбовского, Удерейского и Горевского месторождений;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г) строительство целлюлозно-бумажного комбината в Красноярском крае;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д) модернизация деревообрабатывающего производства.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6. Строительство на территории агропромышленного парка "Сибирь" (Шарыповский район Красноярского края) круглогодичного тепличного комбината по выращиванию овощей в закрытом грунте и завода по глубокой переработке зерна.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7. Строительство на р. Ангара в Красноярском крае новой гидроэлектростанции мощностью 600 - 1200 МВт в соответствии со сроками и расположением, которые предусмотрены Генеральной </w:t>
      </w:r>
      <w:hyperlink r:id="rId9">
        <w:r>
          <w:rPr>
            <w:color w:val="0000FF"/>
          </w:rPr>
          <w:t>схемой</w:t>
        </w:r>
      </w:hyperlink>
      <w:r>
        <w:rPr/>
        <w:t xml:space="preserve"> размещения объектов электроэнергетики до 2035 года, утвержденной распоряжением Правительства Российской Федерации от 9 июня 2017 г. N 1209-р.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8. Развитие системы теплоснабжения г. Красноярска, включая оптимизацию структуры теплоснабжения.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9. Разработка и обустройство Пайяхской группы месторождений и строительство морского терминала "Порт бухта Север".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10. Строительство лесопромышленного комплекса в Богучанском районе Красноярского края и сопутствующих объектов железнодорожной инфраструктуры.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11. Освоение Бейского каменноугольного месторождения, в том числе первоочередных участков Юго-Восточный Кирбинский и Северо-Западный Кирбинский.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12. Увеличение пропускной способности участка Артышта - Междуреченск - Тайшет.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13. Поддержание проектной мощности обогатительной фабрики общества с ограниченной ответственностью "СУЭК-Хакасия".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14. Увеличение производственной мощности участка "Абаканский" разреза "Черногорский" общества с ограниченной ответственностью "СУЭК-Хакасия" до 2 млн. тонн угля в год.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15. Поддержание производственной мощности общества с ограниченной ответственностью "СУЭК-Хакасия" разреза "Черногорский" до 7 млн. тонн угля в год.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16. Создание железнодорожной и автодорожной инфраструктуры Бейского угольного месторождения.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17. Строительство автомобильной дороги (транспортного коридора) Абакан - Бийск.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18. Развитие и модернизация завода акционерного общества "РУСАЛ САЯНАЛ".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19. Строительство углеобогатительного комплекса на базе освоения участков Майрыхский и Бейский-Западный Бейского каменноугольного месторождения.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20. Строительство железнодорожного перехода от Бейского каменноугольного месторождения к станции Хоных, станции Кирба со строительством железнодорожного моста через р. Абакан.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21. Создание в Республике Хакасия оператора парка с применением инновационных вагонов для отгрузки угля с Бейского каменноугольного месторождения.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22. Строительство железнодорожной линии Элегест - Кызыл - Курагино и освоение минерально-сырьевой базы Республики Тыва, в том числе: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а) строительство горно-обогатительного комплекса на Элегестском месторождении;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б) строительство объектов инфраструктуры железнодорожного транспорта общего пользования железнодорожной линии Элегест - Кызыл - Курагино;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в) строительство угольного перегрузочного терминала в районе мыса Бурный.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23. Создание компании - производителя батарейных металлов. Строительство горно-обогатительных комбинатов по очередям: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а) на базе медно-порфирового месторождения Ак-Суг;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б) на базе месторождений Кингашское и Верхнекингашское.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24. Создание автотуристского кластера "Гостеприимная Тува":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а) объект "Горнолыжный туристский комплекс "Тайга" в Республике Тыва";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б) объект "Тувинская этническая деревня в Пий-Хемском районе Республики Тыва";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в) объект "Туристский комплекс "Чагытай", Тандинский район Республики Тыва".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25. Освоение Тарданского золоторудного месторождения.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26. Создание трансграничного автомобильного коридора "Красноярск - Абакан - Кызыл - Хандагайты - Улангом - Ховд - Урумчи".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27. Создание в непосредственной близости от автомобильного пункта пропуска Хандагайты таможенно-логистического терминала, сертифицированного склада временного хранения, топливно-заправочного склада, гостиницы, элеватора, предприятия по переработке шерсти и производству мясных полуфабрикатов.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28. Многопрофильный медицинский центр в г. Кызыле.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29. Многопрофильная стоматологическая поликлиника в г. Кызыле.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30. Строительство угледобывающего комплекса на Межегейском месторождении Улуг-Хемского угольного бассейна.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31. Придание аэропорту г. Кызыла статуса международного и открытие в нем международного пункта пропуска через государственную границу Российской Федерации.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32. Создание молочно-товарного комплекса "Первомайский" в Боградском районе Республики Хакасия.</w:t>
      </w:r>
    </w:p>
    <w:p>
      <w:pPr>
        <w:pStyle w:val="ConsPlusNormal"/>
        <w:bidi w:val="0"/>
        <w:ind w:left="0" w:right="0" w:hanging="0"/>
        <w:jc w:val="right"/>
        <w:rPr/>
      </w:pPr>
      <w:r>
        <w:rPr/>
      </w:r>
    </w:p>
    <w:p>
      <w:pPr>
        <w:pStyle w:val="ConsPlusNormal"/>
        <w:bidi w:val="0"/>
        <w:ind w:left="0" w:right="0" w:hanging="0"/>
        <w:jc w:val="right"/>
        <w:rPr/>
      </w:pPr>
      <w:r>
        <w:rPr/>
      </w:r>
    </w:p>
    <w:p>
      <w:pPr>
        <w:pStyle w:val="ConsPlusNormal"/>
        <w:bidi w:val="0"/>
        <w:ind w:left="0" w:right="0" w:hanging="0"/>
        <w:jc w:val="right"/>
        <w:rPr/>
      </w:pPr>
      <w:r>
        <w:rPr/>
      </w:r>
    </w:p>
    <w:p>
      <w:pPr>
        <w:pStyle w:val="ConsPlusNormal"/>
        <w:bidi w:val="0"/>
        <w:ind w:left="0" w:right="0" w:hanging="0"/>
        <w:jc w:val="right"/>
        <w:rPr/>
      </w:pPr>
      <w:r>
        <w:rPr/>
      </w:r>
    </w:p>
    <w:p>
      <w:pPr>
        <w:pStyle w:val="ConsPlusNormal"/>
        <w:bidi w:val="0"/>
        <w:ind w:left="0" w:right="0" w:hanging="0"/>
        <w:jc w:val="right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right"/>
        <w:outlineLvl w:val="0"/>
        <w:rPr/>
      </w:pPr>
      <w:r>
        <w:rPr/>
        <w:t>Приложение N 2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к распоряжению Правительства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Российской Федерации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от 29 марта 2019 г. N 571-р</w:t>
      </w:r>
    </w:p>
    <w:p>
      <w:pPr>
        <w:pStyle w:val="ConsPlusNormal"/>
        <w:bidi w:val="0"/>
        <w:ind w:left="0" w:right="0" w:hanging="0"/>
        <w:jc w:val="center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bookmarkStart w:id="2" w:name="Par89"/>
      <w:bookmarkEnd w:id="2"/>
      <w:r>
        <w:rPr/>
        <w:t>ПЛАН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МЕРОПРИЯТИЙ ПО РЕАЛИЗАЦИИ ИНВЕСТИЦИОННЫХ ПРОЕКТОВ,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РЕАЛИЗУЕМЫХ В СОСТАВЕ КОМПЛЕКСНОГО ИНВЕСТИЦИОННОГО ПРОЕКТА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"ЕНИСЕЙСКАЯ СИБИРЬ"</w:t>
      </w:r>
    </w:p>
    <w:p>
      <w:pPr>
        <w:pStyle w:val="ConsPlusNormal"/>
        <w:bidi w:val="0"/>
        <w:ind w:left="0" w:right="0" w:hanging="0"/>
        <w:jc w:val="center"/>
        <w:rPr/>
      </w:pPr>
      <w:r>
        <w:rPr/>
      </w:r>
    </w:p>
    <w:tbl>
      <w:tblPr>
        <w:tblW w:w="10716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2041"/>
        <w:gridCol w:w="2267"/>
        <w:gridCol w:w="1701"/>
        <w:gridCol w:w="2042"/>
      </w:tblGrid>
      <w:tr>
        <w:trPr/>
        <w:tc>
          <w:tcPr>
            <w:tcW w:w="2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Вид документа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Ожидаемый 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Срок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Исполнитель (соисполнители)</w:t>
            </w:r>
          </w:p>
        </w:tc>
      </w:tr>
      <w:tr>
        <w:trPr/>
        <w:tc>
          <w:tcPr>
            <w:tcW w:w="10716" w:type="dxa"/>
            <w:gridSpan w:val="5"/>
            <w:tcBorders>
              <w:top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right="0" w:hanging="0"/>
              <w:jc w:val="center"/>
              <w:outlineLvl w:val="1"/>
              <w:rPr/>
            </w:pPr>
            <w:r>
              <w:rPr/>
              <w:t>I. Мероприятия по рассмотрению инвестиционных проектов</w:t>
            </w:r>
          </w:p>
        </w:tc>
      </w:tr>
      <w:tr>
        <w:trPr/>
        <w:tc>
          <w:tcPr>
            <w:tcW w:w="2665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1. Подготовка и представление предложений по реализации инвестиционных проектов, входящих в комплексный инвестиционный проект "Енисейская Сибирь", для рассмотрения в рамках деятельности рабочей группы по содействию реализации новых инвестиционных проектов (далее соответственно - комплексный инвестиционный план, рабочая группа)</w:t>
            </w:r>
          </w:p>
        </w:tc>
        <w:tc>
          <w:tcPr>
            <w:tcW w:w="2041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письмо Правительства Красноярского края, Правительства Республики Тыва, Правительства Республики Хакасия и заинтересованных инвесторов</w:t>
            </w:r>
          </w:p>
        </w:tc>
        <w:tc>
          <w:tcPr>
            <w:tcW w:w="2267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информация о параметрах инвестиционных проектов, включающая технико-экономические и финансовые показатели, представлена в Минфин России для последующего рассмотрения рабочей группой</w:t>
            </w:r>
          </w:p>
        </w:tc>
        <w:tc>
          <w:tcPr>
            <w:tcW w:w="1701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март 2019 г.,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далее - ежемесячно</w:t>
            </w:r>
          </w:p>
        </w:tc>
        <w:tc>
          <w:tcPr>
            <w:tcW w:w="2042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Правительство Красноярского края,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Правительство Республики Тыва,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Правительство Республики Хакасия,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заинтересованные инвесторы</w:t>
            </w:r>
          </w:p>
        </w:tc>
      </w:tr>
      <w:tr>
        <w:trPr/>
        <w:tc>
          <w:tcPr>
            <w:tcW w:w="2665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2. Проведение заседания в рамках деятельности рабочей группы для рассмотрения проектов в рамках реализации комплексного инвестиционного плана</w:t>
            </w:r>
          </w:p>
        </w:tc>
        <w:tc>
          <w:tcPr>
            <w:tcW w:w="2041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протокол рабочей группы</w:t>
            </w:r>
          </w:p>
        </w:tc>
        <w:tc>
          <w:tcPr>
            <w:tcW w:w="2267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в рамках деятельности рабочей группы рассмотрены инвестиционные проекты в рамках комплексного инвестиционного плана и определены оптимальные условия реализации проектов</w:t>
            </w:r>
          </w:p>
        </w:tc>
        <w:tc>
          <w:tcPr>
            <w:tcW w:w="1701" w:type="dxa"/>
            <w:tcBorders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апрель 2019 г.,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далее - ежеквартально</w:t>
            </w:r>
          </w:p>
        </w:tc>
        <w:tc>
          <w:tcPr>
            <w:tcW w:w="2042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Минфин России,</w:t>
            </w:r>
          </w:p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заинтересованные федеральные органы исполнительной власти,</w:t>
            </w:r>
          </w:p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Правительство Красноярского края,</w:t>
            </w:r>
          </w:p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Правительство Республики Тыва,</w:t>
            </w:r>
          </w:p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Правительство Республики Хакасия,</w:t>
            </w:r>
          </w:p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заинтересованные инвесторы</w:t>
            </w:r>
          </w:p>
        </w:tc>
      </w:tr>
      <w:tr>
        <w:trPr/>
        <w:tc>
          <w:tcPr>
            <w:tcW w:w="2665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3. Доклад рабочей группы в Правительство Российской Федерации о результатах рассмотрения инвестиционных проектов</w:t>
            </w:r>
          </w:p>
        </w:tc>
        <w:tc>
          <w:tcPr>
            <w:tcW w:w="2041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доклад в Правительство Российской Федерации</w:t>
            </w:r>
          </w:p>
        </w:tc>
        <w:tc>
          <w:tcPr>
            <w:tcW w:w="2267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в Правительство Российской Федерации направлен доклад о результатах рассмотрения инвестиционных проектов комплексного инвестиционного плана</w:t>
            </w:r>
          </w:p>
        </w:tc>
        <w:tc>
          <w:tcPr>
            <w:tcW w:w="1701" w:type="dxa"/>
            <w:tcBorders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май 2019 г.,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далее - ежеквартально</w:t>
            </w:r>
          </w:p>
        </w:tc>
        <w:tc>
          <w:tcPr>
            <w:tcW w:w="2042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Минфин России</w:t>
            </w:r>
          </w:p>
        </w:tc>
      </w:tr>
      <w:tr>
        <w:trPr/>
        <w:tc>
          <w:tcPr>
            <w:tcW w:w="10716" w:type="dxa"/>
            <w:gridSpan w:val="5"/>
            <w:tcBorders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right="0" w:hanging="0"/>
              <w:jc w:val="center"/>
              <w:outlineLvl w:val="1"/>
              <w:rPr/>
            </w:pPr>
            <w:r>
              <w:rPr/>
              <w:t xml:space="preserve">II. Учет комплексного инвестиционного плана в стратегии социально-экономического развития Ангаро-Енисейского макрорегиона </w:t>
            </w:r>
            <w:hyperlink w:anchor="Par195" w:tgtFrame="&lt;1&gt; Подготовка стратегии социально-экономического развития Ангаро-Енисейского макрорегиона осуществляется по решению Правительства Российской Федерации (в соответствии с частью 1 статьи 21 Федерального закона \&quot;О стратегическом планировании в Российской Федерации\&quot;).">
              <w:r>
                <w:rPr>
                  <w:color w:val="0000FF"/>
                </w:rPr>
                <w:t>&lt;1&gt;</w:t>
              </w:r>
            </w:hyperlink>
            <w:r>
              <w:rPr/>
              <w:t xml:space="preserve"> и национальных проектах</w:t>
            </w:r>
          </w:p>
        </w:tc>
      </w:tr>
      <w:tr>
        <w:trPr/>
        <w:tc>
          <w:tcPr>
            <w:tcW w:w="2665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4. Утверждение стратегии социально-экономического развития Ангаро-Енисейского макрорегиона</w:t>
            </w:r>
          </w:p>
        </w:tc>
        <w:tc>
          <w:tcPr>
            <w:tcW w:w="2041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акт Правительства Российской Федерации</w:t>
            </w:r>
          </w:p>
        </w:tc>
        <w:tc>
          <w:tcPr>
            <w:tcW w:w="2267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разработана и утверждена стратегия социально-экономического развития Ангаро-Енисейского макрорегиона с учетом реализации инвестиционных проектов комплексного инвестиционного плана, одобренных рабочей группой</w:t>
            </w:r>
          </w:p>
        </w:tc>
        <w:tc>
          <w:tcPr>
            <w:tcW w:w="1701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декабрь 2019 г.</w:t>
            </w:r>
          </w:p>
        </w:tc>
        <w:tc>
          <w:tcPr>
            <w:tcW w:w="2042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Минэкономразвития России,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Правительство Красноярского края,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Правительство Республики Тыва,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Правительство Республики Хакасия,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Сибирское отделение Российской академии наук,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заинтересованные федеральные органы исполнительной власти в соответствии со сферами ведения</w:t>
            </w:r>
          </w:p>
        </w:tc>
      </w:tr>
      <w:tr>
        <w:trPr/>
        <w:tc>
          <w:tcPr>
            <w:tcW w:w="2665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 xml:space="preserve">5. Учет комплексного инвестиционного плана в национальных проектах (программах), государственных программах и комплексном плане модернизации и расширения магистральной инфраструктуры </w:t>
            </w:r>
            <w:hyperlink w:anchor="Par196" w:tgtFrame="&lt;2&gt; В пределах бюджетных ассигнований, предусмотренных на соответствующие национальные проекты (программы) и государственные программы Российской Федерации, с учетом возможности перераспределения бюджетных ассигнований, расходование которых по целевому назначению, предусмотренному федеральным законом о федеральном бюджете на соответствующий финансовый год и плановый период, не может быть обеспечено в установленные сроки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41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паспорт федерального проекта,</w:t>
            </w:r>
          </w:p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акты Правительства Российской Федерации (при необходимости)</w:t>
            </w:r>
          </w:p>
        </w:tc>
        <w:tc>
          <w:tcPr>
            <w:tcW w:w="2267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мероприятия, способствующие реализации одобренных в рамках деятельности рабочей группы инвестиционных проектов комплексного инвестиционного плана, с указанием их финансового обеспечения с учетом предусмотренных законодательством Российской Федерации обязанностей по оплате инвестором строительства сопутствующей инфраструктуры для реализации принятых рабочей группой решений по предоставляемым мерам государственной поддержки включены в соответствующие федеральные проекты, государственные программы, а также в комплексный план модернизации и расширения магистральной инфраструктуры при условии соблюдения порядка внесения изменений в указанный план</w:t>
            </w:r>
          </w:p>
        </w:tc>
        <w:tc>
          <w:tcPr>
            <w:tcW w:w="1701" w:type="dxa"/>
            <w:tcBorders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август 2019 г.,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далее - по мере необходимости</w:t>
            </w:r>
          </w:p>
        </w:tc>
        <w:tc>
          <w:tcPr>
            <w:tcW w:w="2042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руководители национальных проектов (программ),</w:t>
            </w:r>
          </w:p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Минфин России,</w:t>
            </w:r>
          </w:p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Минэкономразвития России,</w:t>
            </w:r>
          </w:p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Минтранс России</w:t>
            </w:r>
          </w:p>
        </w:tc>
      </w:tr>
      <w:tr>
        <w:trPr/>
        <w:tc>
          <w:tcPr>
            <w:tcW w:w="10716" w:type="dxa"/>
            <w:gridSpan w:val="5"/>
            <w:tcBorders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right="0" w:hanging="0"/>
              <w:jc w:val="center"/>
              <w:outlineLvl w:val="1"/>
              <w:rPr/>
            </w:pPr>
            <w:r>
              <w:rPr/>
              <w:t>III. Обеспечение формирования и реализации комплексного инвестиционного плана</w:t>
            </w:r>
          </w:p>
        </w:tc>
      </w:tr>
      <w:tr>
        <w:trPr/>
        <w:tc>
          <w:tcPr>
            <w:tcW w:w="2665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6. Создание стратегического комитета по реализации комплексного инвестиционного плана</w:t>
            </w:r>
          </w:p>
        </w:tc>
        <w:tc>
          <w:tcPr>
            <w:tcW w:w="2041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документы о создании (регистрации) стратегического комитета</w:t>
            </w:r>
          </w:p>
        </w:tc>
        <w:tc>
          <w:tcPr>
            <w:tcW w:w="2267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создан стратегический комитет</w:t>
            </w:r>
          </w:p>
        </w:tc>
        <w:tc>
          <w:tcPr>
            <w:tcW w:w="1701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март 2019 г.</w:t>
            </w:r>
          </w:p>
        </w:tc>
        <w:tc>
          <w:tcPr>
            <w:tcW w:w="2042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Правительство Красноярского края,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Правительство Республики Тыва,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Правительство Республики Хакасия,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Минэкономразвития России</w:t>
            </w:r>
          </w:p>
        </w:tc>
      </w:tr>
      <w:tr>
        <w:trPr/>
        <w:tc>
          <w:tcPr>
            <w:tcW w:w="2665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7. Формирование предложений по плану реализации и необходимым мероприятиям поддержки инвестиционных проектов в составе комплексного инвестиционного плана в субъектах Российской Федерации</w:t>
            </w:r>
          </w:p>
        </w:tc>
        <w:tc>
          <w:tcPr>
            <w:tcW w:w="2041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акты субъектов Российской Федерации</w:t>
            </w:r>
          </w:p>
        </w:tc>
        <w:tc>
          <w:tcPr>
            <w:tcW w:w="2267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утверждены планы реализации и мероприятия по поддержке инвестиционных проектов в составе комплексного инвестиционного плана</w:t>
            </w:r>
          </w:p>
        </w:tc>
        <w:tc>
          <w:tcPr>
            <w:tcW w:w="1701" w:type="dxa"/>
            <w:tcBorders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апрель 2019 г.</w:t>
            </w:r>
          </w:p>
        </w:tc>
        <w:tc>
          <w:tcPr>
            <w:tcW w:w="2042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Правительство Красноярского края,</w:t>
            </w:r>
          </w:p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Правительство Республики Тыва,</w:t>
            </w:r>
          </w:p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Правительство Республики Хакасия</w:t>
            </w:r>
          </w:p>
        </w:tc>
      </w:tr>
      <w:tr>
        <w:trPr/>
        <w:tc>
          <w:tcPr>
            <w:tcW w:w="2665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8. Разработка предложений по механизму управления реализацией комплексного инвестиционного плана</w:t>
            </w:r>
          </w:p>
        </w:tc>
        <w:tc>
          <w:tcPr>
            <w:tcW w:w="2041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доклад в Правительство Российской Федерации</w:t>
            </w:r>
          </w:p>
        </w:tc>
        <w:tc>
          <w:tcPr>
            <w:tcW w:w="2267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подготовлены предложения по механизму управления реализацией комплексного инвестиционного плана, в том числе при необходимости по концепции создания корпорации развития Енисейской Сибири, и проекты нормативных правовых актов, необходимых для реализации комплексного инвестиционного плана</w:t>
            </w:r>
          </w:p>
        </w:tc>
        <w:tc>
          <w:tcPr>
            <w:tcW w:w="1701" w:type="dxa"/>
            <w:tcBorders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июнь 2019 г.</w:t>
            </w:r>
          </w:p>
        </w:tc>
        <w:tc>
          <w:tcPr>
            <w:tcW w:w="2042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Правительство Красноярского края,</w:t>
            </w:r>
          </w:p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Правительство Республики Тыва,</w:t>
            </w:r>
          </w:p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Правительство Республики Хакасия</w:t>
            </w:r>
          </w:p>
        </w:tc>
      </w:tr>
      <w:tr>
        <w:trPr/>
        <w:tc>
          <w:tcPr>
            <w:tcW w:w="2665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9. Проведение регулярного мониторинга реализации комплексного инвестиционного плана</w:t>
            </w:r>
          </w:p>
        </w:tc>
        <w:tc>
          <w:tcPr>
            <w:tcW w:w="2041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доклад в Правительство Российской Федерации</w:t>
            </w:r>
          </w:p>
        </w:tc>
        <w:tc>
          <w:tcPr>
            <w:tcW w:w="2267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оценка хода реализации комплексного инвестиционного плана, в том числе промежуточные результаты, предложения и рекомендации</w:t>
            </w:r>
          </w:p>
        </w:tc>
        <w:tc>
          <w:tcPr>
            <w:tcW w:w="1701" w:type="dxa"/>
            <w:tcBorders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июнь 2019 г.,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далее - 1 раз в квартал</w:t>
            </w:r>
          </w:p>
        </w:tc>
        <w:tc>
          <w:tcPr>
            <w:tcW w:w="2042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Правительство Красноярского края,</w:t>
            </w:r>
          </w:p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Правительство Республики Тыва,</w:t>
            </w:r>
          </w:p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Правительство Республики Хакасия</w:t>
            </w:r>
          </w:p>
        </w:tc>
      </w:tr>
      <w:tr>
        <w:trPr/>
        <w:tc>
          <w:tcPr>
            <w:tcW w:w="2665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10. Формирование необходимых налоговых условий в субъектах Российской Федерации</w:t>
            </w:r>
          </w:p>
        </w:tc>
        <w:tc>
          <w:tcPr>
            <w:tcW w:w="2041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доклад в Правительство Российской Федерации</w:t>
            </w:r>
          </w:p>
        </w:tc>
        <w:tc>
          <w:tcPr>
            <w:tcW w:w="2267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в рамках деятельности рабочей группы рассмотрены предложения по формированию налоговых условий, необходимые налоговые льготы признаны эффективными</w:t>
            </w:r>
          </w:p>
        </w:tc>
        <w:tc>
          <w:tcPr>
            <w:tcW w:w="1701" w:type="dxa"/>
            <w:tcBorders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ноябрь 2019 г.</w:t>
            </w:r>
          </w:p>
        </w:tc>
        <w:tc>
          <w:tcPr>
            <w:tcW w:w="2042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Минфин России,</w:t>
            </w:r>
          </w:p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Минэкономразвития России,</w:t>
            </w:r>
          </w:p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Правительство Красноярского края,</w:t>
            </w:r>
          </w:p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Правительство Республики Тыва,</w:t>
            </w:r>
          </w:p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Правительство Республики Хакасия</w:t>
            </w:r>
          </w:p>
        </w:tc>
      </w:tr>
      <w:tr>
        <w:trPr/>
        <w:tc>
          <w:tcPr>
            <w:tcW w:w="2665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11. Формирование механизма возвратного налогового финансирования комплексных инвестиционных проектов</w:t>
            </w:r>
          </w:p>
        </w:tc>
        <w:tc>
          <w:tcPr>
            <w:tcW w:w="2041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постановление Правительства Российской Федерации</w:t>
            </w:r>
          </w:p>
        </w:tc>
        <w:tc>
          <w:tcPr>
            <w:tcW w:w="2267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 xml:space="preserve">внесены изменения в </w:t>
            </w:r>
            <w:hyperlink r:id="rId10">
              <w:r>
                <w:rPr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Российской Федерации от 30 октября 2014 г. N 1119 "Об отборе субъектов Российской Федерации, имеющих право на получение государственной поддержки в форме субсидий на возмещение затрат на создание, модернизацию и (или) реконструкцию объектов инфраструктуры индустриальных парков, промышленных технопарков и технопарков в сфере высоких технологий", предусматривающие предоставление возвратного налогового финансирования при строительстве инфраструктуры в рамках реализации комплексного инвестиционного плана</w:t>
            </w:r>
          </w:p>
        </w:tc>
        <w:tc>
          <w:tcPr>
            <w:tcW w:w="1701" w:type="dxa"/>
            <w:tcBorders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ноябрь 2019 г.</w:t>
            </w:r>
          </w:p>
        </w:tc>
        <w:tc>
          <w:tcPr>
            <w:tcW w:w="2042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Минфин России,</w:t>
            </w:r>
          </w:p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Минэкономразвития России</w:t>
            </w:r>
          </w:p>
        </w:tc>
      </w:tr>
    </w:tbl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--------------------------------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bookmarkStart w:id="3" w:name="Par195"/>
      <w:bookmarkEnd w:id="3"/>
      <w:r>
        <w:rPr/>
        <w:t xml:space="preserve">&lt;1&gt; Подготовка стратегии социально-экономического развития Ангаро-Енисейского макрорегиона осуществляется по решению Правительства Российской Федерации (в соответствии с </w:t>
      </w:r>
      <w:hyperlink r:id="rId11">
        <w:r>
          <w:rPr>
            <w:color w:val="0000FF"/>
          </w:rPr>
          <w:t>частью 1 статьи 21</w:t>
        </w:r>
      </w:hyperlink>
      <w:r>
        <w:rPr/>
        <w:t xml:space="preserve"> Федерального закона "О стратегическом планировании в Российской Федерации").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bookmarkStart w:id="4" w:name="Par196"/>
      <w:bookmarkEnd w:id="4"/>
      <w:r>
        <w:rPr/>
        <w:t>&lt;2&gt; В пределах бюджетных ассигнований, предусмотренных на соответствующие национальные проекты (программы) и государственные программы Российской Федерации, с учетом возможности перераспределения бюджетных ассигнований, расходование которых по целевому назначению, предусмотренному федеральным законом о федеральном бюджете на соответствующий финансовый год и плановый период, не может быть обеспечено в установленные сроки.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right="0" w:hanging="0"/>
        <w:jc w:val="both"/>
        <w:rPr/>
      </w:pPr>
      <w:r>
        <w:rPr/>
      </w:r>
    </w:p>
    <w:sectPr>
      <w:headerReference w:type="default" r:id="rId12"/>
      <w:footerReference w:type="default" r:id="rId13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Times New Roman" w:hAnsi="Times New Roman" w:eastAsia="Times New Roman" w:cs="Times New Roman"/>
        <w:sz w:val="2"/>
        <w:szCs w:val="2"/>
        <w:lang w:val="ru-RU" w:eastAsia="ru-RU" w:bidi="ar-SA"/>
      </w:rPr>
    </w:pPr>
    <w:r>
      <w:rPr>
        <w:rFonts w:eastAsia="Times New Roman" w:cs="Times New Roman"/>
        <w:sz w:val="2"/>
        <w:szCs w:val="2"/>
        <w:lang w:val="ru-RU" w:eastAsia="ru-RU" w:bidi="ar-SA"/>
      </w:rPr>
    </w:r>
  </w:p>
  <w:tbl>
    <w:tblPr>
      <w:tblW w:w="10287" w:type="dxa"/>
      <w:jc w:val="left"/>
      <w:tblInd w:w="-41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3393"/>
      <w:gridCol w:w="3499"/>
      <w:gridCol w:w="3395"/>
    </w:tblGrid>
    <w:tr>
      <w:trPr>
        <w:trHeight w:val="1663" w:hRule="exact"/>
      </w:trPr>
      <w:tc>
        <w:tcPr>
          <w:tcW w:w="3393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Times New Roman" w:cs="Tahoma" w:ascii="Tahoma" w:hAnsi="Tahoma"/>
              <w:b/>
              <w:bCs/>
              <w:color w:val="F58220"/>
              <w:sz w:val="28"/>
              <w:szCs w:val="28"/>
              <w:lang w:val="ru-RU" w:eastAsia="ru-RU" w:bidi="ar-SA"/>
            </w:rPr>
            <w:t>КонсультантПлюс</w:t>
          </w:r>
          <w:r>
            <w:rPr/>
            <w:br/>
          </w:r>
          <w:r>
            <w:rPr>
              <w:rFonts w:eastAsia="Times New Roman" w:cs="Tahoma" w:ascii="Tahoma" w:hAnsi="Tahoma"/>
              <w:b/>
              <w:bCs/>
              <w:sz w:val="16"/>
              <w:szCs w:val="16"/>
              <w:lang w:val="ru-RU" w:eastAsia="ru-RU" w:bidi="ar-SA"/>
            </w:rPr>
            <w:t>надежная правовая поддержка</w:t>
          </w:r>
        </w:p>
      </w:tc>
      <w:tc>
        <w:tcPr>
          <w:tcW w:w="3499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/>
          </w:pPr>
          <w:hyperlink r:id="rId1">
            <w:r>
              <w:rPr>
                <w:rFonts w:eastAsia="Times New Roman" w:cs="Tahoma" w:ascii="Tahoma" w:hAnsi="Tahoma"/>
                <w:b/>
                <w:bCs/>
                <w:color w:val="0000FF"/>
                <w:sz w:val="20"/>
                <w:szCs w:val="20"/>
                <w:lang w:val="ru-RU" w:eastAsia="ru-RU" w:bidi="ar-SA"/>
              </w:rPr>
              <w:t>www.consultant.ru</w:t>
            </w:r>
          </w:hyperlink>
        </w:p>
      </w:tc>
      <w:tc>
        <w:tcPr>
          <w:tcW w:w="3395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Tahoma" w:ascii="Tahoma" w:hAnsi="Tahoma"/>
              <w:sz w:val="20"/>
              <w:szCs w:val="20"/>
              <w:lang w:val="ru-RU" w:eastAsia="ru-RU" w:bidi="ar-SA"/>
            </w:rPr>
            <w:t xml:space="preserve">Страница </w:t>
          </w:r>
          <w:r>
            <w:rPr>
              <w:rFonts w:eastAsia="Times New Roman" w:cs="Tahoma" w:ascii="Tahoma" w:hAnsi="Tahoma"/>
              <w:sz w:val="20"/>
              <w:szCs w:val="20"/>
              <w:lang w:val="en-US" w:eastAsia="en-US" w:bidi="ar-SA"/>
            </w:rPr>
            <w:fldChar w:fldCharType="begin"/>
          </w:r>
          <w:r>
            <w:rPr>
              <w:sz w:val="20"/>
              <w:szCs w:val="20"/>
              <w:rFonts w:eastAsia="Times New Roman" w:cs="Tahoma" w:ascii="Tahoma" w:hAnsi="Tahoma"/>
              <w:lang w:val="en-US" w:eastAsia="en-US" w:bidi="ar-SA"/>
            </w:rPr>
            <w:instrText> PAGE </w:instrText>
          </w:r>
          <w:r>
            <w:rPr>
              <w:sz w:val="20"/>
              <w:szCs w:val="20"/>
              <w:rFonts w:eastAsia="Times New Roman" w:cs="Tahoma" w:ascii="Tahoma" w:hAnsi="Tahoma"/>
              <w:lang w:val="en-US" w:eastAsia="en-US" w:bidi="ar-SA"/>
            </w:rPr>
            <w:fldChar w:fldCharType="separate"/>
          </w:r>
          <w:r>
            <w:rPr>
              <w:sz w:val="20"/>
              <w:szCs w:val="20"/>
              <w:rFonts w:eastAsia="Times New Roman" w:cs="Tahoma" w:ascii="Tahoma" w:hAnsi="Tahoma"/>
              <w:lang w:val="en-US" w:eastAsia="en-US" w:bidi="ar-SA"/>
            </w:rPr>
            <w:t>2</w:t>
          </w:r>
          <w:r>
            <w:rPr>
              <w:sz w:val="20"/>
              <w:szCs w:val="20"/>
              <w:rFonts w:eastAsia="Times New Roman" w:cs="Tahoma" w:ascii="Tahoma" w:hAnsi="Tahoma"/>
              <w:lang w:val="en-US" w:eastAsia="en-US" w:bidi="ar-SA"/>
            </w:rPr>
            <w:fldChar w:fldCharType="end"/>
          </w:r>
          <w:r>
            <w:rPr>
              <w:rFonts w:eastAsia="Times New Roman" w:cs="Tahoma" w:ascii="Tahoma" w:hAnsi="Tahoma"/>
              <w:sz w:val="20"/>
              <w:szCs w:val="20"/>
              <w:lang w:val="ru-RU" w:eastAsia="ru-RU" w:bidi="ar-SA"/>
            </w:rPr>
            <w:t xml:space="preserve"> из </w:t>
          </w:r>
          <w:r>
            <w:rPr>
              <w:rFonts w:eastAsia="Times New Roman" w:cs="Tahoma" w:ascii="Tahoma" w:hAnsi="Tahoma"/>
              <w:sz w:val="20"/>
              <w:szCs w:val="20"/>
              <w:lang w:val="en-US" w:eastAsia="en-US" w:bidi="ar-SA"/>
            </w:rPr>
            <w:fldChar w:fldCharType="begin"/>
          </w:r>
          <w:r>
            <w:rPr>
              <w:sz w:val="20"/>
              <w:szCs w:val="20"/>
              <w:rFonts w:eastAsia="Times New Roman" w:cs="Tahoma" w:ascii="Tahoma" w:hAnsi="Tahoma"/>
              <w:lang w:val="en-US" w:eastAsia="en-US" w:bidi="ar-SA"/>
            </w:rPr>
            <w:instrText> NUMPAGES </w:instrText>
          </w:r>
          <w:r>
            <w:rPr>
              <w:sz w:val="20"/>
              <w:szCs w:val="20"/>
              <w:rFonts w:eastAsia="Times New Roman" w:cs="Tahoma" w:ascii="Tahoma" w:hAnsi="Tahoma"/>
              <w:lang w:val="en-US" w:eastAsia="en-US" w:bidi="ar-SA"/>
            </w:rPr>
            <w:fldChar w:fldCharType="separate"/>
          </w:r>
          <w:r>
            <w:rPr>
              <w:sz w:val="20"/>
              <w:szCs w:val="20"/>
              <w:rFonts w:eastAsia="Times New Roman" w:cs="Tahoma" w:ascii="Tahoma" w:hAnsi="Tahoma"/>
              <w:lang w:val="en-US" w:eastAsia="en-US" w:bidi="ar-SA"/>
            </w:rPr>
            <w:t>12</w:t>
          </w:r>
          <w:r>
            <w:rPr>
              <w:sz w:val="20"/>
              <w:szCs w:val="20"/>
              <w:rFonts w:eastAsia="Times New Roman" w:cs="Tahoma" w:ascii="Tahoma" w:hAnsi="Tahoma"/>
              <w:lang w:val="en-US" w:eastAsia="en-US" w:bidi="ar-SA"/>
            </w:rPr>
            <w:fldChar w:fldCharType="end"/>
          </w:r>
        </w:p>
      </w:tc>
    </w:tr>
  </w:tbl>
  <w:p>
    <w:pPr>
      <w:pStyle w:val="ConsPlusNormal"/>
      <w:widowControl w:val="false"/>
      <w:bidi w:val="0"/>
      <w:ind w:left="0" w:right="0" w:hanging="0"/>
      <w:jc w:val="left"/>
      <w:textAlignment w:val="auto"/>
      <w:rPr>
        <w:rFonts w:ascii="Times New Roman" w:hAnsi="Times New Roman" w:eastAsia="Times New Roman" w:cs="Times New Roman"/>
        <w:sz w:val="2"/>
        <w:szCs w:val="2"/>
        <w:lang w:val="ru-RU" w:eastAsia="ru-RU" w:bidi="ar-SA"/>
      </w:rPr>
    </w:pPr>
    <w:r>
      <w:rPr>
        <w:rFonts w:eastAsia="Times New Roman" w:cs="Times New Roman"/>
        <w:sz w:val="2"/>
        <w:szCs w:val="2"/>
        <w:lang w:val="ru-RU" w:eastAsia="ru-RU" w:bidi="ar-SA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Times New Roman" w:hAnsi="Times New Roman" w:eastAsia="Times New Roman" w:cs="Times New Roman"/>
        <w:sz w:val="2"/>
        <w:szCs w:val="2"/>
        <w:lang w:val="ru-RU" w:eastAsia="ru-RU" w:bidi="ar-SA"/>
      </w:rPr>
    </w:pPr>
    <w:r>
      <w:rPr>
        <w:rFonts w:eastAsia="Times New Roman" w:cs="Times New Roman"/>
        <w:sz w:val="2"/>
        <w:szCs w:val="2"/>
        <w:lang w:val="ru-RU" w:eastAsia="ru-RU" w:bidi="ar-SA"/>
      </w:rPr>
    </w:r>
  </w:p>
  <w:tbl>
    <w:tblPr>
      <w:tblW w:w="10287" w:type="dxa"/>
      <w:jc w:val="left"/>
      <w:tblInd w:w="-41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3393"/>
      <w:gridCol w:w="3499"/>
      <w:gridCol w:w="3395"/>
    </w:tblGrid>
    <w:tr>
      <w:trPr>
        <w:trHeight w:val="1663" w:hRule="exact"/>
      </w:trPr>
      <w:tc>
        <w:tcPr>
          <w:tcW w:w="3393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Times New Roman" w:cs="Tahoma" w:ascii="Tahoma" w:hAnsi="Tahoma"/>
              <w:b/>
              <w:bCs/>
              <w:color w:val="F58220"/>
              <w:sz w:val="28"/>
              <w:szCs w:val="28"/>
              <w:lang w:val="ru-RU" w:eastAsia="ru-RU" w:bidi="ar-SA"/>
            </w:rPr>
            <w:t>КонсультантПлюс</w:t>
          </w:r>
          <w:r>
            <w:rPr/>
            <w:br/>
          </w:r>
          <w:r>
            <w:rPr>
              <w:rFonts w:eastAsia="Times New Roman" w:cs="Tahoma" w:ascii="Tahoma" w:hAnsi="Tahoma"/>
              <w:b/>
              <w:bCs/>
              <w:sz w:val="16"/>
              <w:szCs w:val="16"/>
              <w:lang w:val="ru-RU" w:eastAsia="ru-RU" w:bidi="ar-SA"/>
            </w:rPr>
            <w:t>надежная правовая поддержка</w:t>
          </w:r>
        </w:p>
      </w:tc>
      <w:tc>
        <w:tcPr>
          <w:tcW w:w="3499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/>
          </w:pPr>
          <w:hyperlink r:id="rId1">
            <w:r>
              <w:rPr>
                <w:rFonts w:eastAsia="Times New Roman" w:cs="Tahoma" w:ascii="Tahoma" w:hAnsi="Tahoma"/>
                <w:b/>
                <w:bCs/>
                <w:color w:val="0000FF"/>
                <w:sz w:val="20"/>
                <w:szCs w:val="20"/>
                <w:lang w:val="ru-RU" w:eastAsia="ru-RU" w:bidi="ar-SA"/>
              </w:rPr>
              <w:t>www.consultant.ru</w:t>
            </w:r>
          </w:hyperlink>
        </w:p>
      </w:tc>
      <w:tc>
        <w:tcPr>
          <w:tcW w:w="3395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Tahoma" w:ascii="Tahoma" w:hAnsi="Tahoma"/>
              <w:sz w:val="20"/>
              <w:szCs w:val="20"/>
              <w:lang w:val="ru-RU" w:eastAsia="ru-RU" w:bidi="ar-SA"/>
            </w:rPr>
            <w:t xml:space="preserve">Страница </w:t>
          </w:r>
          <w:r>
            <w:rPr>
              <w:rFonts w:eastAsia="Times New Roman" w:cs="Tahoma" w:ascii="Tahoma" w:hAnsi="Tahoma"/>
              <w:sz w:val="20"/>
              <w:szCs w:val="20"/>
              <w:lang w:val="en-US" w:eastAsia="en-US" w:bidi="ar-SA"/>
            </w:rPr>
            <w:fldChar w:fldCharType="begin"/>
          </w:r>
          <w:r>
            <w:rPr>
              <w:sz w:val="20"/>
              <w:szCs w:val="20"/>
              <w:rFonts w:eastAsia="Times New Roman" w:cs="Tahoma" w:ascii="Tahoma" w:hAnsi="Tahoma"/>
              <w:lang w:val="en-US" w:eastAsia="en-US" w:bidi="ar-SA"/>
            </w:rPr>
            <w:instrText> PAGE </w:instrText>
          </w:r>
          <w:r>
            <w:rPr>
              <w:sz w:val="20"/>
              <w:szCs w:val="20"/>
              <w:rFonts w:eastAsia="Times New Roman" w:cs="Tahoma" w:ascii="Tahoma" w:hAnsi="Tahoma"/>
              <w:lang w:val="en-US" w:eastAsia="en-US" w:bidi="ar-SA"/>
            </w:rPr>
            <w:fldChar w:fldCharType="separate"/>
          </w:r>
          <w:r>
            <w:rPr>
              <w:sz w:val="20"/>
              <w:szCs w:val="20"/>
              <w:rFonts w:eastAsia="Times New Roman" w:cs="Tahoma" w:ascii="Tahoma" w:hAnsi="Tahoma"/>
              <w:lang w:val="en-US" w:eastAsia="en-US" w:bidi="ar-SA"/>
            </w:rPr>
            <w:t>12</w:t>
          </w:r>
          <w:r>
            <w:rPr>
              <w:sz w:val="20"/>
              <w:szCs w:val="20"/>
              <w:rFonts w:eastAsia="Times New Roman" w:cs="Tahoma" w:ascii="Tahoma" w:hAnsi="Tahoma"/>
              <w:lang w:val="en-US" w:eastAsia="en-US" w:bidi="ar-SA"/>
            </w:rPr>
            <w:fldChar w:fldCharType="end"/>
          </w:r>
          <w:r>
            <w:rPr>
              <w:rFonts w:eastAsia="Times New Roman" w:cs="Tahoma" w:ascii="Tahoma" w:hAnsi="Tahoma"/>
              <w:sz w:val="20"/>
              <w:szCs w:val="20"/>
              <w:lang w:val="ru-RU" w:eastAsia="ru-RU" w:bidi="ar-SA"/>
            </w:rPr>
            <w:t xml:space="preserve"> из </w:t>
          </w:r>
          <w:r>
            <w:rPr>
              <w:rFonts w:eastAsia="Times New Roman" w:cs="Tahoma" w:ascii="Tahoma" w:hAnsi="Tahoma"/>
              <w:sz w:val="20"/>
              <w:szCs w:val="20"/>
              <w:lang w:val="en-US" w:eastAsia="en-US" w:bidi="ar-SA"/>
            </w:rPr>
            <w:fldChar w:fldCharType="begin"/>
          </w:r>
          <w:r>
            <w:rPr>
              <w:sz w:val="20"/>
              <w:szCs w:val="20"/>
              <w:rFonts w:eastAsia="Times New Roman" w:cs="Tahoma" w:ascii="Tahoma" w:hAnsi="Tahoma"/>
              <w:lang w:val="en-US" w:eastAsia="en-US" w:bidi="ar-SA"/>
            </w:rPr>
            <w:instrText> NUMPAGES </w:instrText>
          </w:r>
          <w:r>
            <w:rPr>
              <w:sz w:val="20"/>
              <w:szCs w:val="20"/>
              <w:rFonts w:eastAsia="Times New Roman" w:cs="Tahoma" w:ascii="Tahoma" w:hAnsi="Tahoma"/>
              <w:lang w:val="en-US" w:eastAsia="en-US" w:bidi="ar-SA"/>
            </w:rPr>
            <w:fldChar w:fldCharType="separate"/>
          </w:r>
          <w:r>
            <w:rPr>
              <w:sz w:val="20"/>
              <w:szCs w:val="20"/>
              <w:rFonts w:eastAsia="Times New Roman" w:cs="Tahoma" w:ascii="Tahoma" w:hAnsi="Tahoma"/>
              <w:lang w:val="en-US" w:eastAsia="en-US" w:bidi="ar-SA"/>
            </w:rPr>
            <w:t>12</w:t>
          </w:r>
          <w:r>
            <w:rPr>
              <w:sz w:val="20"/>
              <w:szCs w:val="20"/>
              <w:rFonts w:eastAsia="Times New Roman" w:cs="Tahoma" w:ascii="Tahoma" w:hAnsi="Tahoma"/>
              <w:lang w:val="en-US" w:eastAsia="en-US" w:bidi="ar-SA"/>
            </w:rPr>
            <w:fldChar w:fldCharType="end"/>
          </w:r>
        </w:p>
      </w:tc>
    </w:tr>
  </w:tbl>
  <w:p>
    <w:pPr>
      <w:pStyle w:val="ConsPlusNormal"/>
      <w:widowControl w:val="false"/>
      <w:bidi w:val="0"/>
      <w:ind w:left="0" w:right="0" w:hanging="0"/>
      <w:jc w:val="left"/>
      <w:textAlignment w:val="auto"/>
      <w:rPr>
        <w:rFonts w:ascii="Times New Roman" w:hAnsi="Times New Roman" w:eastAsia="Times New Roman" w:cs="Times New Roman"/>
        <w:sz w:val="2"/>
        <w:szCs w:val="2"/>
        <w:lang w:val="ru-RU" w:eastAsia="ru-RU" w:bidi="ar-SA"/>
      </w:rPr>
    </w:pPr>
    <w:r>
      <w:rPr>
        <w:rFonts w:eastAsia="Times New Roman" w:cs="Times New Roman"/>
        <w:sz w:val="2"/>
        <w:szCs w:val="2"/>
        <w:lang w:val="ru-RU" w:eastAsia="ru-RU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87" w:type="dxa"/>
      <w:jc w:val="left"/>
      <w:tblInd w:w="-41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554"/>
      <w:gridCol w:w="4732"/>
    </w:tblGrid>
    <w:tr>
      <w:trPr>
        <w:trHeight w:val="1683" w:hRule="exact"/>
      </w:trPr>
      <w:tc>
        <w:tcPr>
          <w:tcW w:w="5554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>
              <w:lang w:val="ru-RU"/>
            </w:rPr>
          </w:pPr>
          <w:r>
            <w:rPr>
              <w:rFonts w:eastAsia="Times New Roman" w:cs="Tahoma" w:ascii="Tahoma" w:hAnsi="Tahoma"/>
              <w:sz w:val="16"/>
              <w:szCs w:val="16"/>
              <w:lang w:val="ru-RU" w:eastAsia="ru-RU" w:bidi="ar-SA"/>
            </w:rPr>
            <w:t>Распоряжение Правительства РФ от 29.03.2019 N 571-р</w:t>
          </w:r>
          <w:r>
            <w:rPr/>
            <w:br/>
          </w:r>
          <w:r>
            <w:rPr>
              <w:rFonts w:eastAsia="Times New Roman" w:cs="Tahoma" w:ascii="Tahoma" w:hAnsi="Tahoma"/>
              <w:sz w:val="16"/>
              <w:szCs w:val="16"/>
              <w:lang w:val="ru-RU" w:eastAsia="ru-RU" w:bidi="ar-SA"/>
            </w:rPr>
            <w:t>&lt;Об утверждении Плана мероприятий по реализации инвестиционных проек...</w:t>
          </w:r>
        </w:p>
      </w:tc>
      <w:tc>
        <w:tcPr>
          <w:tcW w:w="4732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Tahoma" w:ascii="Tahoma" w:hAnsi="Tahoma"/>
              <w:sz w:val="18"/>
              <w:szCs w:val="18"/>
              <w:lang w:val="ru-RU" w:eastAsia="ru-RU" w:bidi="ar-SA"/>
            </w:rPr>
            <w:t xml:space="preserve">Документ предоставлен </w:t>
          </w:r>
          <w:hyperlink r:id="rId1">
            <w:r>
              <w:rPr>
                <w:rFonts w:eastAsia="Times New Roman" w:cs="Tahoma" w:ascii="Tahoma" w:hAnsi="Tahoma"/>
                <w:color w:val="0000FF"/>
                <w:sz w:val="18"/>
                <w:szCs w:val="18"/>
                <w:lang w:val="ru-RU" w:eastAsia="ru-RU" w:bidi="ar-SA"/>
              </w:rPr>
              <w:t>КонсультантПлюс</w:t>
            </w:r>
          </w:hyperlink>
          <w:r>
            <w:rPr/>
            <w:br/>
          </w:r>
          <w:r>
            <w:rPr>
              <w:rFonts w:eastAsia="Times New Roman" w:cs="Tahoma" w:ascii="Tahoma" w:hAnsi="Tahoma"/>
              <w:sz w:val="16"/>
              <w:szCs w:val="16"/>
              <w:lang w:val="ru-RU" w:eastAsia="ru-RU" w:bidi="ar-SA"/>
            </w:rPr>
            <w:t>Дата сохранения: 19.04.2023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Times New Roman" w:hAnsi="Times New Roman" w:eastAsia="Times New Roman" w:cs="Times New Roman"/>
        <w:sz w:val="2"/>
        <w:szCs w:val="2"/>
        <w:lang w:val="ru-RU" w:eastAsia="ru-RU" w:bidi="ar-SA"/>
      </w:rPr>
    </w:pPr>
    <w:r>
      <w:rPr>
        <w:rFonts w:eastAsia="Times New Roman" w:cs="Times New Roman"/>
        <w:sz w:val="2"/>
        <w:szCs w:val="2"/>
        <w:lang w:val="ru-RU" w:eastAsia="ru-RU" w:bidi="ar-SA"/>
      </w:rPr>
    </w:r>
  </w:p>
  <w:p>
    <w:pPr>
      <w:pStyle w:val="ConsPlusNormal"/>
      <w:widowControl w:val="false"/>
      <w:bidi w:val="0"/>
      <w:ind w:left="0" w:right="0" w:hanging="0"/>
      <w:jc w:val="left"/>
      <w:textAlignment w:val="auto"/>
      <w:rPr/>
    </w:pPr>
    <w:r>
      <w:rPr>
        <w:rFonts w:eastAsia="Times New Roman" w:cs="Times New Roman"/>
        <w:sz w:val="10"/>
        <w:szCs w:val="10"/>
        <w:lang w:val="ru-RU" w:eastAsia="ru-RU" w:bidi="ar-SA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87" w:type="dxa"/>
      <w:jc w:val="left"/>
      <w:tblInd w:w="-41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554"/>
      <w:gridCol w:w="4732"/>
    </w:tblGrid>
    <w:tr>
      <w:trPr>
        <w:trHeight w:val="1683" w:hRule="exact"/>
      </w:trPr>
      <w:tc>
        <w:tcPr>
          <w:tcW w:w="5554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>
              <w:lang w:val="ru-RU"/>
            </w:rPr>
          </w:pPr>
          <w:r>
            <w:rPr>
              <w:rFonts w:eastAsia="Times New Roman" w:cs="Tahoma" w:ascii="Tahoma" w:hAnsi="Tahoma"/>
              <w:sz w:val="16"/>
              <w:szCs w:val="16"/>
              <w:lang w:val="ru-RU" w:eastAsia="ru-RU" w:bidi="ar-SA"/>
            </w:rPr>
            <w:t>Распоряжение Правительства РФ от 29.03.2019 N 571-р</w:t>
          </w:r>
          <w:r>
            <w:rPr/>
            <w:br/>
          </w:r>
          <w:r>
            <w:rPr>
              <w:rFonts w:eastAsia="Times New Roman" w:cs="Tahoma" w:ascii="Tahoma" w:hAnsi="Tahoma"/>
              <w:sz w:val="16"/>
              <w:szCs w:val="16"/>
              <w:lang w:val="ru-RU" w:eastAsia="ru-RU" w:bidi="ar-SA"/>
            </w:rPr>
            <w:t>&lt;Об утверждении Плана мероприятий по реализации инвестиционных проек...</w:t>
          </w:r>
        </w:p>
      </w:tc>
      <w:tc>
        <w:tcPr>
          <w:tcW w:w="4732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Tahoma" w:ascii="Tahoma" w:hAnsi="Tahoma"/>
              <w:sz w:val="18"/>
              <w:szCs w:val="18"/>
              <w:lang w:val="ru-RU" w:eastAsia="ru-RU" w:bidi="ar-SA"/>
            </w:rPr>
            <w:t xml:space="preserve">Документ предоставлен </w:t>
          </w:r>
          <w:hyperlink r:id="rId1">
            <w:r>
              <w:rPr>
                <w:rFonts w:eastAsia="Times New Roman" w:cs="Tahoma" w:ascii="Tahoma" w:hAnsi="Tahoma"/>
                <w:color w:val="0000FF"/>
                <w:sz w:val="18"/>
                <w:szCs w:val="18"/>
                <w:lang w:val="ru-RU" w:eastAsia="ru-RU" w:bidi="ar-SA"/>
              </w:rPr>
              <w:t>КонсультантПлюс</w:t>
            </w:r>
          </w:hyperlink>
          <w:r>
            <w:rPr/>
            <w:br/>
          </w:r>
          <w:r>
            <w:rPr>
              <w:rFonts w:eastAsia="Times New Roman" w:cs="Tahoma" w:ascii="Tahoma" w:hAnsi="Tahoma"/>
              <w:sz w:val="16"/>
              <w:szCs w:val="16"/>
              <w:lang w:val="ru-RU" w:eastAsia="ru-RU" w:bidi="ar-SA"/>
            </w:rPr>
            <w:t>Дата сохранения: 19.04.2023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Times New Roman" w:hAnsi="Times New Roman" w:eastAsia="Times New Roman" w:cs="Times New Roman"/>
        <w:sz w:val="2"/>
        <w:szCs w:val="2"/>
        <w:lang w:val="ru-RU" w:eastAsia="ru-RU" w:bidi="ar-SA"/>
      </w:rPr>
    </w:pPr>
    <w:r>
      <w:rPr>
        <w:rFonts w:eastAsia="Times New Roman" w:cs="Times New Roman"/>
        <w:sz w:val="2"/>
        <w:szCs w:val="2"/>
        <w:lang w:val="ru-RU" w:eastAsia="ru-RU" w:bidi="ar-SA"/>
      </w:rPr>
    </w:r>
  </w:p>
  <w:p>
    <w:pPr>
      <w:pStyle w:val="ConsPlusNormal"/>
      <w:widowControl w:val="false"/>
      <w:bidi w:val="0"/>
      <w:ind w:left="0" w:right="0" w:hanging="0"/>
      <w:jc w:val="left"/>
      <w:textAlignment w:val="auto"/>
      <w:rPr/>
    </w:pPr>
    <w:r>
      <w:rPr>
        <w:rFonts w:eastAsia="Times New Roman" w:cs="Times New Roman"/>
        <w:sz w:val="10"/>
        <w:szCs w:val="10"/>
        <w:lang w:val="ru-RU" w:eastAsia="ru-RU" w:bidi="ar-SA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b/>
      <w:bCs/>
      <w:color w:val="auto"/>
      <w:kern w:val="2"/>
      <w:sz w:val="24"/>
      <w:szCs w:val="24"/>
      <w:lang w:val="ru-RU" w:eastAsia="ru-RU" w:bidi="ar-SA"/>
    </w:rPr>
  </w:style>
  <w:style w:type="paragraph" w:styleId="ConsPlusCell">
    <w:name w:val="ConsPlusCell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DocList">
    <w:name w:val="ConsPlusDocList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18"/>
      <w:szCs w:val="18"/>
      <w:lang w:val="ru-RU" w:eastAsia="ru-RU" w:bidi="ar-SA"/>
    </w:rPr>
  </w:style>
  <w:style w:type="paragraph" w:styleId="ConsPlusTitlePage">
    <w:name w:val="ConsPlusTitlePage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24"/>
      <w:szCs w:val="24"/>
      <w:lang w:val="ru-RU" w:eastAsia="ru-RU" w:bidi="ar-SA"/>
    </w:rPr>
  </w:style>
  <w:style w:type="paragraph" w:styleId="ConsPlusJurTerm">
    <w:name w:val="ConsPlusJurTerm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ConsPlusTextList">
    <w:name w:val="ConsPlusTextList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ConsPlusTextList1">
    <w:name w:val="ConsPlusTextList1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consultant.ru/" TargetMode="External"/><Relationship Id="rId4" Type="http://schemas.openxmlformats.org/officeDocument/2006/relationships/hyperlink" Target="https://www.consultant.ru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login.consultant.ru/link/?req=doc&amp;demo=1&amp;base=EXP&amp;n=723904&amp;date=19.04.2023&amp;dst=100005&amp;field=134" TargetMode="External"/><Relationship Id="rId8" Type="http://schemas.openxmlformats.org/officeDocument/2006/relationships/hyperlink" Target="https://login.consultant.ru/link/?req=doc&amp;demo=1&amp;base=LAW&amp;n=220377&amp;date=19.04.2023" TargetMode="External"/><Relationship Id="rId9" Type="http://schemas.openxmlformats.org/officeDocument/2006/relationships/hyperlink" Target="https://login.consultant.ru/link/?req=doc&amp;demo=1&amp;base=LAW&amp;n=218239&amp;date=19.04.2023&amp;dst=100011&amp;field=134" TargetMode="External"/><Relationship Id="rId10" Type="http://schemas.openxmlformats.org/officeDocument/2006/relationships/hyperlink" Target="https://login.consultant.ru/link/?req=doc&amp;demo=1&amp;base=LAW&amp;n=311856&amp;date=19.04.2023" TargetMode="External"/><Relationship Id="rId11" Type="http://schemas.openxmlformats.org/officeDocument/2006/relationships/hyperlink" Target="https://login.consultant.ru/link/?req=doc&amp;demo=1&amp;base=LAW&amp;n=287039&amp;date=19.04.2023&amp;dst=100325&amp;field=134" TargetMode="Externa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LibreOffice/7.0.6.2$Linux_X86_64 LibreOffice_project/00$Build-2</Application>
  <AppVersion>15.0000</AppVersion>
  <Pages>99</Pages>
  <Words>2708</Words>
  <Characters>18112</Characters>
  <CharactersWithSpaces>15440</CharactersWithSpace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2023-04-19T20:26:00Z</dcterms:created>
  <dc:creator>Пилипенко Ольга Андреевна</dc:creator>
  <dc:description/>
  <dc:language>en-US</dc:language>
  <cp:lastModifiedBy/>
  <dcterms:modified xsi:type="dcterms:W3CDTF">2023-04-19T20:26:00Z</dcterms:modified>
  <cp:revision>2</cp:revision>
  <dc:subject/>
  <dc:title>Распоряжение Правительства РФ от 29.03.2019 N 571-р&lt;Об утверждении Плана мероприятий по реализации инвестиционных проектов, реализуемых в составе комплексного инвестиционного проекта "Енисейская Сибирь"&gt;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Пилипенко Ольга Андреевна</vt:lpwstr>
  </property>
</Properties>
</file>